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2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</w:t>
      </w:r>
      <w:r w:rsidR="00E22ADC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для </w:t>
      </w:r>
      <w:r w:rsidR="00EE6C14">
        <w:rPr>
          <w:sz w:val="28"/>
          <w:szCs w:val="28"/>
        </w:rPr>
        <w:t xml:space="preserve"> </w:t>
      </w:r>
      <w:r w:rsidR="00E22ADC">
        <w:rPr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, площадь</w:t>
      </w:r>
      <w:r w:rsidR="00EE6C14">
        <w:rPr>
          <w:sz w:val="28"/>
          <w:szCs w:val="28"/>
        </w:rPr>
        <w:t xml:space="preserve"> </w:t>
      </w:r>
      <w:r w:rsidR="00E22ADC">
        <w:rPr>
          <w:sz w:val="28"/>
          <w:szCs w:val="28"/>
        </w:rPr>
        <w:t>7990</w:t>
      </w:r>
      <w:r w:rsidR="00EE6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кв.м., расположенного </w:t>
      </w:r>
      <w:r w:rsidR="00E22ADC">
        <w:rPr>
          <w:sz w:val="28"/>
          <w:szCs w:val="28"/>
        </w:rPr>
        <w:t>согласно ориентира: Республика Адыгея, р-н  Майкопский, 3900 м. на северо-запад от  ориентира: распложенного за пределами земельного участка расположенного по адресу: Республика Адыгея, р-н Майкопский, ст. Абадзехская, ул. Винника, 52, здание МО «Абадзехское сельское поселение»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EE6C1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EA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0C6934"/>
    <w:rsid w:val="002673CB"/>
    <w:rsid w:val="00E22ADC"/>
    <w:rsid w:val="00EA4352"/>
    <w:rsid w:val="00EE6C14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2016-01-18T06:50:00Z</dcterms:created>
  <dcterms:modified xsi:type="dcterms:W3CDTF">2016-03-14T11:08:00Z</dcterms:modified>
</cp:coreProperties>
</file>